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B331" w14:textId="77777777" w:rsidR="004C56B4" w:rsidRDefault="00702DC2" w:rsidP="00702DC2">
      <w:pPr>
        <w:jc w:val="right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2A32383" wp14:editId="17960EC4">
            <wp:extent cx="577850" cy="60668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708" cy="6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2C0E" w14:textId="77777777" w:rsidR="00702DC2" w:rsidRPr="00702DC2" w:rsidRDefault="00702DC2" w:rsidP="008B01E3">
      <w:pPr>
        <w:jc w:val="center"/>
        <w:rPr>
          <w:b/>
          <w:sz w:val="40"/>
          <w:szCs w:val="40"/>
        </w:rPr>
      </w:pPr>
      <w:r w:rsidRPr="0025480A">
        <w:rPr>
          <w:b/>
          <w:sz w:val="40"/>
          <w:szCs w:val="40"/>
        </w:rPr>
        <w:t>COVID-19 Local Response Outline</w:t>
      </w:r>
      <w:r>
        <w:rPr>
          <w:b/>
          <w:sz w:val="40"/>
          <w:szCs w:val="40"/>
        </w:rPr>
        <w:t xml:space="preserve"> For Leaders</w:t>
      </w:r>
      <w:r w:rsidRPr="00702DC2">
        <w:rPr>
          <w:b/>
          <w:sz w:val="18"/>
          <w:szCs w:val="40"/>
        </w:rPr>
        <w:t xml:space="preserve">                          </w:t>
      </w:r>
    </w:p>
    <w:p w14:paraId="0679D2FB" w14:textId="77777777" w:rsidR="00881946" w:rsidRDefault="001F5E27" w:rsidP="00881946">
      <w:pPr>
        <w:ind w:left="720" w:hanging="720"/>
      </w:pPr>
      <w:r w:rsidRPr="00881946">
        <w:rPr>
          <w:b/>
          <w:u w:val="single"/>
        </w:rPr>
        <w:t>Scope:</w:t>
      </w:r>
      <w:r>
        <w:t xml:space="preserve">  </w:t>
      </w:r>
    </w:p>
    <w:p w14:paraId="0A9F9C03" w14:textId="77777777" w:rsidR="00881946" w:rsidRDefault="00881946" w:rsidP="00881946">
      <w:pPr>
        <w:pStyle w:val="ListParagraph"/>
        <w:numPr>
          <w:ilvl w:val="0"/>
          <w:numId w:val="4"/>
        </w:numPr>
      </w:pPr>
      <w:r>
        <w:t>This applies to all Sonoco operations.</w:t>
      </w:r>
    </w:p>
    <w:p w14:paraId="2830D4BE" w14:textId="77777777" w:rsidR="00881946" w:rsidRDefault="00881946" w:rsidP="00881946">
      <w:pPr>
        <w:pStyle w:val="ListParagraph"/>
        <w:numPr>
          <w:ilvl w:val="0"/>
          <w:numId w:val="4"/>
        </w:numPr>
      </w:pPr>
      <w:r>
        <w:t>Governmental regulations will supersede this policy, unless Sonoco’s policy is more stringent.</w:t>
      </w:r>
    </w:p>
    <w:p w14:paraId="745E3298" w14:textId="77777777" w:rsidR="0025480A" w:rsidRDefault="0025480A" w:rsidP="00881946">
      <w:pPr>
        <w:pStyle w:val="ListParagraph"/>
        <w:numPr>
          <w:ilvl w:val="0"/>
          <w:numId w:val="4"/>
        </w:numPr>
      </w:pPr>
      <w:r>
        <w:t>All guidelines follow CDC and WHO recommendations.</w:t>
      </w:r>
    </w:p>
    <w:p w14:paraId="5CC7EC8D" w14:textId="77777777" w:rsidR="001F5E27" w:rsidRPr="00881946" w:rsidRDefault="001F5E27" w:rsidP="001F5E27">
      <w:pPr>
        <w:ind w:left="720" w:hanging="720"/>
        <w:rPr>
          <w:b/>
          <w:u w:val="single"/>
        </w:rPr>
      </w:pPr>
      <w:r w:rsidRPr="00881946">
        <w:rPr>
          <w:b/>
          <w:u w:val="single"/>
        </w:rPr>
        <w:t>Immediate Action:</w:t>
      </w:r>
    </w:p>
    <w:p w14:paraId="7CCAB675" w14:textId="77777777" w:rsidR="001F5E27" w:rsidRDefault="001F5E27" w:rsidP="001F5E27">
      <w:pPr>
        <w:pStyle w:val="ListParagraph"/>
        <w:numPr>
          <w:ilvl w:val="0"/>
          <w:numId w:val="1"/>
        </w:numPr>
      </w:pPr>
      <w:r>
        <w:t>If the employee is at work they should immediately be sent home and told to contact their healthcare provider.</w:t>
      </w:r>
    </w:p>
    <w:p w14:paraId="07C6B386" w14:textId="77777777" w:rsidR="001F5E27" w:rsidRDefault="001F5E27" w:rsidP="001F5E27">
      <w:pPr>
        <w:pStyle w:val="ListParagraph"/>
        <w:numPr>
          <w:ilvl w:val="0"/>
          <w:numId w:val="1"/>
        </w:numPr>
      </w:pPr>
      <w:r>
        <w:t xml:space="preserve">If the employee reports sick from home tell them to remain at home and </w:t>
      </w:r>
      <w:r w:rsidR="00881946">
        <w:t>contact with</w:t>
      </w:r>
      <w:r>
        <w:t xml:space="preserve"> their healthcare provider.  If the employee had worked the previous day ascertain where they had worked and whom they had worked in close contact with.</w:t>
      </w:r>
    </w:p>
    <w:p w14:paraId="6CE1C975" w14:textId="77777777" w:rsidR="00881946" w:rsidRPr="00881946" w:rsidRDefault="00881946" w:rsidP="00881946">
      <w:pPr>
        <w:rPr>
          <w:b/>
          <w:u w:val="single"/>
        </w:rPr>
      </w:pPr>
      <w:r w:rsidRPr="00881946">
        <w:rPr>
          <w:b/>
          <w:u w:val="single"/>
        </w:rPr>
        <w:t>Coworker Notification:</w:t>
      </w:r>
    </w:p>
    <w:p w14:paraId="2CFA8D09" w14:textId="77777777" w:rsidR="00881946" w:rsidRDefault="00881946" w:rsidP="00881946">
      <w:pPr>
        <w:pStyle w:val="ListParagraph"/>
        <w:numPr>
          <w:ilvl w:val="0"/>
          <w:numId w:val="2"/>
        </w:numPr>
      </w:pPr>
      <w:r>
        <w:t>Notify employees who may have been in close contact with the sick employee and instruct them to self-monitor for illness and fever.</w:t>
      </w:r>
      <w:r w:rsidR="00641F26">
        <w:t xml:space="preserve">  Do not disclose the sick person’s name or any medical status.</w:t>
      </w:r>
    </w:p>
    <w:p w14:paraId="23014BBE" w14:textId="77777777" w:rsidR="00881946" w:rsidRPr="00881946" w:rsidRDefault="00881946" w:rsidP="00881946">
      <w:pPr>
        <w:rPr>
          <w:b/>
          <w:u w:val="single"/>
        </w:rPr>
      </w:pPr>
      <w:r w:rsidRPr="00881946">
        <w:rPr>
          <w:b/>
          <w:u w:val="single"/>
        </w:rPr>
        <w:t>Cleaning &amp; Disinfecting:</w:t>
      </w:r>
    </w:p>
    <w:p w14:paraId="03C377B7" w14:textId="77777777" w:rsidR="00881946" w:rsidRDefault="00881946" w:rsidP="00881946">
      <w:pPr>
        <w:pStyle w:val="ListParagraph"/>
        <w:numPr>
          <w:ilvl w:val="0"/>
          <w:numId w:val="2"/>
        </w:numPr>
      </w:pPr>
      <w:r>
        <w:t>If an employee reports illness during work hours:</w:t>
      </w:r>
    </w:p>
    <w:p w14:paraId="7CD46A17" w14:textId="77777777" w:rsidR="00254BBA" w:rsidRPr="00881946" w:rsidRDefault="00383FA3" w:rsidP="00881946">
      <w:pPr>
        <w:pStyle w:val="ListParagraph"/>
        <w:numPr>
          <w:ilvl w:val="1"/>
          <w:numId w:val="2"/>
        </w:numPr>
      </w:pPr>
      <w:r w:rsidRPr="00881946">
        <w:t>Isolate the work area and wait as long a</w:t>
      </w:r>
      <w:r w:rsidR="00881946">
        <w:t>s</w:t>
      </w:r>
      <w:r w:rsidRPr="00881946">
        <w:t xml:space="preserve"> practically possible before cleaning.</w:t>
      </w:r>
    </w:p>
    <w:p w14:paraId="7BF6E08C" w14:textId="77777777" w:rsidR="00254BBA" w:rsidRPr="00881946" w:rsidRDefault="00383FA3" w:rsidP="00881946">
      <w:pPr>
        <w:pStyle w:val="ListParagraph"/>
        <w:numPr>
          <w:ilvl w:val="1"/>
          <w:numId w:val="2"/>
        </w:numPr>
      </w:pPr>
      <w:r w:rsidRPr="00881946">
        <w:t>Use standard cleaning materials to thoroughly clean all hard surfaces that may have been touched by the employee.</w:t>
      </w:r>
    </w:p>
    <w:p w14:paraId="49116627" w14:textId="77777777" w:rsidR="00254BBA" w:rsidRDefault="00383FA3" w:rsidP="00881946">
      <w:pPr>
        <w:pStyle w:val="ListParagraph"/>
        <w:numPr>
          <w:ilvl w:val="1"/>
          <w:numId w:val="2"/>
        </w:numPr>
      </w:pPr>
      <w:r w:rsidRPr="00881946">
        <w:t>Ensure all breakrooms, restroo</w:t>
      </w:r>
      <w:r w:rsidR="00881946">
        <w:t>ms and other areas the employee</w:t>
      </w:r>
      <w:r w:rsidRPr="00881946">
        <w:t xml:space="preserve"> may have been are also cleaned.</w:t>
      </w:r>
    </w:p>
    <w:p w14:paraId="3B88B36B" w14:textId="77777777" w:rsidR="0025480A" w:rsidRDefault="0025480A" w:rsidP="00881946">
      <w:pPr>
        <w:pStyle w:val="ListParagraph"/>
        <w:numPr>
          <w:ilvl w:val="1"/>
          <w:numId w:val="2"/>
        </w:numPr>
      </w:pPr>
      <w:r>
        <w:t>Standard PPE for cleaning activities should be worn including gloves and eye protection.  Product safety data sheets can be referred to for guidance on specific products.</w:t>
      </w:r>
    </w:p>
    <w:p w14:paraId="0657F421" w14:textId="77777777" w:rsidR="0025480A" w:rsidRPr="0025480A" w:rsidRDefault="0025480A" w:rsidP="0025480A">
      <w:pPr>
        <w:rPr>
          <w:b/>
          <w:u w:val="single"/>
        </w:rPr>
      </w:pPr>
      <w:r w:rsidRPr="0025480A">
        <w:rPr>
          <w:b/>
          <w:u w:val="single"/>
        </w:rPr>
        <w:t>Communication:</w:t>
      </w:r>
    </w:p>
    <w:p w14:paraId="773D4ACF" w14:textId="77777777" w:rsidR="0025480A" w:rsidRDefault="0025480A" w:rsidP="0025480A">
      <w:pPr>
        <w:pStyle w:val="ListParagraph"/>
        <w:numPr>
          <w:ilvl w:val="0"/>
          <w:numId w:val="2"/>
        </w:numPr>
      </w:pPr>
      <w:r>
        <w:t>Notify the division safety leader and human resources representative of the issue.</w:t>
      </w:r>
    </w:p>
    <w:p w14:paraId="056BE994" w14:textId="77777777" w:rsidR="0025480A" w:rsidRDefault="0025480A" w:rsidP="0025480A">
      <w:pPr>
        <w:pStyle w:val="ListParagraph"/>
        <w:numPr>
          <w:ilvl w:val="0"/>
          <w:numId w:val="2"/>
        </w:numPr>
      </w:pPr>
      <w:r>
        <w:t>Verbally communicate with employee’s onsite of the measures being taken to protect them.</w:t>
      </w:r>
    </w:p>
    <w:p w14:paraId="17EC8858" w14:textId="77777777" w:rsidR="0025480A" w:rsidRDefault="0025480A" w:rsidP="0025480A">
      <w:pPr>
        <w:pStyle w:val="ListParagraph"/>
        <w:numPr>
          <w:ilvl w:val="1"/>
          <w:numId w:val="2"/>
        </w:numPr>
      </w:pPr>
      <w:r>
        <w:t>Dedicated resource for the sites COVID-19 plan.</w:t>
      </w:r>
    </w:p>
    <w:p w14:paraId="68374692" w14:textId="77777777" w:rsidR="0025480A" w:rsidRDefault="0025480A" w:rsidP="0025480A">
      <w:pPr>
        <w:pStyle w:val="ListParagraph"/>
        <w:numPr>
          <w:ilvl w:val="1"/>
          <w:numId w:val="2"/>
        </w:numPr>
      </w:pPr>
      <w:r>
        <w:t>Increased cleaning frequency with focus on high-touch surfaces.</w:t>
      </w:r>
    </w:p>
    <w:p w14:paraId="2B9B4E7E" w14:textId="77777777" w:rsidR="0025480A" w:rsidRDefault="0025480A" w:rsidP="0025480A">
      <w:pPr>
        <w:pStyle w:val="ListParagraph"/>
        <w:numPr>
          <w:ilvl w:val="1"/>
          <w:numId w:val="2"/>
        </w:numPr>
      </w:pPr>
      <w:r>
        <w:t>Social-distancing requirements established.</w:t>
      </w:r>
    </w:p>
    <w:p w14:paraId="001F107E" w14:textId="77777777" w:rsidR="00702DC2" w:rsidRDefault="00702DC2" w:rsidP="00702DC2">
      <w:pPr>
        <w:pStyle w:val="ListParagraph"/>
        <w:numPr>
          <w:ilvl w:val="1"/>
          <w:numId w:val="2"/>
        </w:numPr>
      </w:pPr>
      <w:r>
        <w:t>Response plan for possible workplace exposures.</w:t>
      </w:r>
    </w:p>
    <w:p w14:paraId="42C867A6" w14:textId="77777777" w:rsidR="00702DC2" w:rsidRDefault="00702DC2" w:rsidP="00702DC2">
      <w:pPr>
        <w:pStyle w:val="ListParagraph"/>
        <w:numPr>
          <w:ilvl w:val="0"/>
          <w:numId w:val="2"/>
        </w:numPr>
      </w:pPr>
      <w:r>
        <w:t>Refer any and all press inquiries or social media issues to Corporate Communications.</w:t>
      </w:r>
    </w:p>
    <w:p w14:paraId="1D3D15CA" w14:textId="77777777" w:rsidR="00702DC2" w:rsidRDefault="00702DC2" w:rsidP="00702DC2"/>
    <w:p w14:paraId="4B799703" w14:textId="77777777" w:rsidR="00881946" w:rsidRDefault="00881946" w:rsidP="00881946"/>
    <w:sectPr w:rsidR="00881946" w:rsidSect="00702DC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720F"/>
    <w:multiLevelType w:val="hybridMultilevel"/>
    <w:tmpl w:val="C2E0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7449"/>
    <w:multiLevelType w:val="hybridMultilevel"/>
    <w:tmpl w:val="D716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1B7E"/>
    <w:multiLevelType w:val="hybridMultilevel"/>
    <w:tmpl w:val="F45AB652"/>
    <w:lvl w:ilvl="0" w:tplc="E51E5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CB7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E9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20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F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6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E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1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F544D5"/>
    <w:multiLevelType w:val="hybridMultilevel"/>
    <w:tmpl w:val="CC2C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5128"/>
    <w:multiLevelType w:val="hybridMultilevel"/>
    <w:tmpl w:val="3F6A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27"/>
    <w:rsid w:val="001F5E27"/>
    <w:rsid w:val="0025480A"/>
    <w:rsid w:val="00254BBA"/>
    <w:rsid w:val="00302C9F"/>
    <w:rsid w:val="00383FA3"/>
    <w:rsid w:val="004A2871"/>
    <w:rsid w:val="004B12FA"/>
    <w:rsid w:val="004C56B4"/>
    <w:rsid w:val="00641F26"/>
    <w:rsid w:val="006D0037"/>
    <w:rsid w:val="00702DC2"/>
    <w:rsid w:val="00881946"/>
    <w:rsid w:val="008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27748"/>
  <w15:chartTrackingRefBased/>
  <w15:docId w15:val="{1D5E304C-152F-4E4C-B0C8-255CD2BD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6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7A2A17096CC4F9D9715681AB05B39" ma:contentTypeVersion="10" ma:contentTypeDescription="Create a new document." ma:contentTypeScope="" ma:versionID="5b63dc6af2a1ea0eaa4ee3e05ec5016d">
  <xsd:schema xmlns:xsd="http://www.w3.org/2001/XMLSchema" xmlns:xs="http://www.w3.org/2001/XMLSchema" xmlns:p="http://schemas.microsoft.com/office/2006/metadata/properties" xmlns:ns2="c61422e3-cdbc-4b1e-8292-015326992adf" xmlns:ns3="ba162c8d-917e-4695-9c42-f60c3fb2426e" targetNamespace="http://schemas.microsoft.com/office/2006/metadata/properties" ma:root="true" ma:fieldsID="ce35987d6431ef5f0b88bc25a29d0ef8" ns2:_="" ns3:_="">
    <xsd:import namespace="c61422e3-cdbc-4b1e-8292-015326992adf"/>
    <xsd:import namespace="ba162c8d-917e-4695-9c42-f60c3fb242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422e3-cdbc-4b1e-8292-015326992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62c8d-917e-4695-9c42-f60c3fb24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FA188-54E7-4C0B-B6C1-265E22FA9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F3073-5872-4C27-95C9-23F0E0DA7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422e3-cdbc-4b1e-8292-015326992adf"/>
    <ds:schemaRef ds:uri="ba162c8d-917e-4695-9c42-f60c3fb24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3C509-DB43-4CD2-A869-0F3CE2058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Moore</dc:creator>
  <cp:keywords/>
  <dc:description/>
  <cp:lastModifiedBy>Michelle Couch</cp:lastModifiedBy>
  <cp:revision>2</cp:revision>
  <dcterms:created xsi:type="dcterms:W3CDTF">2020-04-01T22:20:00Z</dcterms:created>
  <dcterms:modified xsi:type="dcterms:W3CDTF">2020-04-01T22:20:00Z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0x01010082E7A2A17096CC4F9D9715681AB05B39</vt:lpwstr>
  </property>
</Properties>
</file>